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8B38" w14:textId="2BC6AB1D" w:rsidR="00722661" w:rsidRDefault="00E85D08" w:rsidP="00E85D08">
      <w:pPr>
        <w:jc w:val="center"/>
      </w:pPr>
      <w:r>
        <w:rPr>
          <w:noProof/>
        </w:rPr>
        <w:drawing>
          <wp:inline distT="0" distB="0" distL="0" distR="0" wp14:anchorId="7F9F4B00" wp14:editId="1D43643C">
            <wp:extent cx="1211419" cy="887095"/>
            <wp:effectExtent l="0" t="0" r="8255" b="8255"/>
            <wp:docPr id="162601930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97D33FC-3064-4597-866C-8EF97E735B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5825" cy="9122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14EBE5" w14:textId="6BD80032" w:rsidR="0281CA03" w:rsidRPr="0087664E" w:rsidRDefault="00722661" w:rsidP="0087664E">
      <w:pPr>
        <w:jc w:val="center"/>
        <w:rPr>
          <w:b/>
          <w:bCs/>
          <w:sz w:val="36"/>
          <w:szCs w:val="36"/>
        </w:rPr>
      </w:pPr>
      <w:r w:rsidRPr="0087664E">
        <w:rPr>
          <w:b/>
          <w:bCs/>
          <w:sz w:val="36"/>
          <w:szCs w:val="36"/>
        </w:rPr>
        <w:t xml:space="preserve">Summary Guideline to Scoring </w:t>
      </w:r>
      <w:r w:rsidR="00EF23B3">
        <w:rPr>
          <w:b/>
          <w:bCs/>
          <w:sz w:val="36"/>
          <w:szCs w:val="36"/>
        </w:rPr>
        <w:t xml:space="preserve">and Shortlisting </w:t>
      </w:r>
      <w:r w:rsidRPr="0087664E">
        <w:rPr>
          <w:b/>
          <w:bCs/>
          <w:sz w:val="36"/>
          <w:szCs w:val="36"/>
        </w:rPr>
        <w:t xml:space="preserve"> </w:t>
      </w:r>
      <w:r w:rsidR="00E85D08" w:rsidRPr="0087664E">
        <w:rPr>
          <w:b/>
          <w:bCs/>
          <w:sz w:val="36"/>
          <w:szCs w:val="36"/>
        </w:rPr>
        <w:t xml:space="preserve">  </w:t>
      </w:r>
      <w:r w:rsidR="00446A4F" w:rsidRPr="0087664E">
        <w:rPr>
          <w:b/>
          <w:bCs/>
          <w:sz w:val="36"/>
          <w:szCs w:val="36"/>
        </w:rPr>
        <w:t>Measure 1 CLÁR Programme – Develop</w:t>
      </w:r>
      <w:r w:rsidRPr="0087664E">
        <w:rPr>
          <w:b/>
          <w:bCs/>
          <w:sz w:val="36"/>
          <w:szCs w:val="36"/>
        </w:rPr>
        <w:t>ing Community Facilities and Amenities</w:t>
      </w:r>
    </w:p>
    <w:p w14:paraId="01CDBBF0" w14:textId="6D15DE1F" w:rsidR="00E85D08" w:rsidRDefault="4726F2F2" w:rsidP="0281CA03">
      <w:r w:rsidRPr="0281CA03">
        <w:t xml:space="preserve">The following </w:t>
      </w:r>
      <w:r w:rsidR="10AB797F" w:rsidRPr="0281CA03">
        <w:t>Summary</w:t>
      </w:r>
      <w:r w:rsidRPr="0281CA03">
        <w:t xml:space="preserve"> Guideline to Scoring</w:t>
      </w:r>
      <w:r w:rsidR="2CDFB75D" w:rsidRPr="0281CA03">
        <w:t>, is</w:t>
      </w:r>
      <w:r w:rsidRPr="0281CA03">
        <w:t xml:space="preserve"> </w:t>
      </w:r>
      <w:r w:rsidR="00E85D08">
        <w:t>used in the preliminary</w:t>
      </w:r>
      <w:r w:rsidRPr="0281CA03">
        <w:t xml:space="preserve"> assessment </w:t>
      </w:r>
      <w:r w:rsidR="5071B9B5" w:rsidRPr="0281CA03">
        <w:t xml:space="preserve">and shortlisting </w:t>
      </w:r>
      <w:r w:rsidRPr="0281CA03">
        <w:t xml:space="preserve">of applications for </w:t>
      </w:r>
      <w:r w:rsidR="50B68EEF" w:rsidRPr="0281CA03">
        <w:t>Measure 1</w:t>
      </w:r>
      <w:r w:rsidR="00722661">
        <w:t xml:space="preserve"> </w:t>
      </w:r>
      <w:r w:rsidRPr="0281CA03">
        <w:t xml:space="preserve">CLÁR </w:t>
      </w:r>
      <w:r w:rsidR="00E85D08" w:rsidRPr="0281CA03">
        <w:t>Programme</w:t>
      </w:r>
      <w:r w:rsidRPr="0281CA03">
        <w:t xml:space="preserve"> by Galway </w:t>
      </w:r>
      <w:r w:rsidR="0FC51DC0" w:rsidRPr="0281CA03">
        <w:t>C</w:t>
      </w:r>
      <w:r w:rsidRPr="0281CA03">
        <w:t>ounty Council</w:t>
      </w:r>
      <w:r w:rsidR="008027FE" w:rsidRPr="0281CA03">
        <w:t>.</w:t>
      </w:r>
      <w:r w:rsidR="008027FE">
        <w:t xml:space="preserve"> </w:t>
      </w:r>
    </w:p>
    <w:p w14:paraId="02A0B5B7" w14:textId="6B82D7D3" w:rsidR="4726F2F2" w:rsidRDefault="00E85D08" w:rsidP="0281CA03">
      <w:r>
        <w:t xml:space="preserve">These Guidelines should be considered a </w:t>
      </w:r>
      <w:r w:rsidR="00EF23B3">
        <w:t xml:space="preserve">guideline </w:t>
      </w:r>
      <w:r>
        <w:t xml:space="preserve">and read in conjunction with the National Scheme Guidelines and Aims and Objectives of the CLÁR Programme. </w:t>
      </w:r>
    </w:p>
    <w:p w14:paraId="0FEA7D1E" w14:textId="60128C3D" w:rsidR="4726F2F2" w:rsidRDefault="00E85D08" w:rsidP="0281CA03">
      <w:r>
        <w:t>For Measure 1, Galway County Council undertakes</w:t>
      </w:r>
      <w:r w:rsidR="00EF23B3">
        <w:t xml:space="preserve"> to complete: </w:t>
      </w:r>
    </w:p>
    <w:p w14:paraId="62EA2BD0" w14:textId="4D38E604" w:rsidR="4726F2F2" w:rsidRDefault="4726F2F2" w:rsidP="0281CA03">
      <w:pPr>
        <w:pStyle w:val="ListParagraph"/>
        <w:numPr>
          <w:ilvl w:val="0"/>
          <w:numId w:val="1"/>
        </w:numPr>
      </w:pPr>
      <w:r w:rsidRPr="0281CA03">
        <w:t>Validation of Applications – ensurin</w:t>
      </w:r>
      <w:r w:rsidR="00663456">
        <w:t xml:space="preserve">g that applications are in CLÁR area and have requirements in place </w:t>
      </w:r>
      <w:r w:rsidR="000E3601">
        <w:t xml:space="preserve">(Rural Team) </w:t>
      </w:r>
      <w:r w:rsidR="006D7AE5">
        <w:t>No</w:t>
      </w:r>
      <w:r w:rsidR="00190A37">
        <w:t>n</w:t>
      </w:r>
      <w:r w:rsidR="006D7AE5">
        <w:t xml:space="preserve"> valid applications or incomplete </w:t>
      </w:r>
      <w:r w:rsidR="00190A37">
        <w:t xml:space="preserve">applications </w:t>
      </w:r>
      <w:r w:rsidR="006E681E">
        <w:t>will not progress to</w:t>
      </w:r>
      <w:r w:rsidR="006D7AE5">
        <w:t xml:space="preserve"> Round 1 assessment. </w:t>
      </w:r>
      <w:r w:rsidR="00190A37">
        <w:t>Further Information may be sought at Validation Phase</w:t>
      </w:r>
      <w:r w:rsidR="006E681E">
        <w:t>, for example</w:t>
      </w:r>
      <w:r w:rsidR="00190A37">
        <w:t xml:space="preserve"> to confirm a project </w:t>
      </w:r>
      <w:r w:rsidR="008027FE">
        <w:t>location.</w:t>
      </w:r>
    </w:p>
    <w:p w14:paraId="0CC10333" w14:textId="2ADC3A42" w:rsidR="4726F2F2" w:rsidRDefault="4726F2F2" w:rsidP="0281CA03">
      <w:pPr>
        <w:pStyle w:val="ListParagraph"/>
        <w:numPr>
          <w:ilvl w:val="0"/>
          <w:numId w:val="1"/>
        </w:numPr>
      </w:pPr>
      <w:r w:rsidRPr="0281CA03">
        <w:t xml:space="preserve">Round 1 and Round 2 Shortlisting </w:t>
      </w:r>
      <w:r w:rsidR="006D7AE5">
        <w:t>(</w:t>
      </w:r>
      <w:r w:rsidR="000E3601">
        <w:t xml:space="preserve">Assessment Panel comprised of Rural, Community, Technical and Environmental Executives and </w:t>
      </w:r>
      <w:r w:rsidR="00BF24A9">
        <w:t xml:space="preserve">Nominees of External Bodies as </w:t>
      </w:r>
      <w:r w:rsidR="00EF3F68">
        <w:t>appropriate</w:t>
      </w:r>
      <w:r w:rsidR="008027FE">
        <w:t>).</w:t>
      </w:r>
    </w:p>
    <w:p w14:paraId="3872CB7B" w14:textId="49F458F9" w:rsidR="4726F2F2" w:rsidRDefault="4726F2F2" w:rsidP="0281CA03">
      <w:pPr>
        <w:pStyle w:val="ListParagraph"/>
        <w:numPr>
          <w:ilvl w:val="0"/>
          <w:numId w:val="1"/>
        </w:numPr>
      </w:pPr>
      <w:r w:rsidRPr="0281CA03">
        <w:t xml:space="preserve">Submission of Final Applications (to the maximum allowable </w:t>
      </w:r>
      <w:r w:rsidR="00EF3F68">
        <w:t>from</w:t>
      </w:r>
      <w:r w:rsidRPr="0281CA03">
        <w:t xml:space="preserve"> each County) to the Department of Community, Rural Development and the Gaeltacht (DRCDG) </w:t>
      </w:r>
      <w:r w:rsidR="00D05DB6">
        <w:t xml:space="preserve">for their consideration and decision. </w:t>
      </w:r>
    </w:p>
    <w:p w14:paraId="3F9B9B0E" w14:textId="69AEF0B5" w:rsidR="0281CA03" w:rsidRDefault="0281CA03" w:rsidP="0281CA03">
      <w:pPr>
        <w:pStyle w:val="ListParagraph"/>
        <w:ind w:hanging="360"/>
      </w:pPr>
    </w:p>
    <w:p w14:paraId="2D2D24F7" w14:textId="4E8A246B" w:rsidR="00B550F5" w:rsidRDefault="00D05DB6" w:rsidP="0087664E">
      <w:pPr>
        <w:pStyle w:val="ListParagraph"/>
        <w:numPr>
          <w:ilvl w:val="0"/>
          <w:numId w:val="6"/>
        </w:numPr>
      </w:pPr>
      <w:r>
        <w:t xml:space="preserve">Please note that applications </w:t>
      </w:r>
      <w:r w:rsidR="00EF3F68">
        <w:t xml:space="preserve">for Measure 1 are shortlisted and submitted by the Local </w:t>
      </w:r>
      <w:r w:rsidR="008027FE">
        <w:t>Authority.</w:t>
      </w:r>
    </w:p>
    <w:p w14:paraId="4AD81882" w14:textId="5F1B2FA2" w:rsidR="008E198B" w:rsidRDefault="008E198B" w:rsidP="0087664E">
      <w:pPr>
        <w:pStyle w:val="ListParagraph"/>
        <w:numPr>
          <w:ilvl w:val="0"/>
          <w:numId w:val="6"/>
        </w:numPr>
      </w:pPr>
      <w:r>
        <w:t xml:space="preserve">Final Approval Decisions are made by </w:t>
      </w:r>
      <w:r w:rsidR="009359BB">
        <w:t>the Department</w:t>
      </w:r>
      <w:r w:rsidR="00EF3F68">
        <w:t xml:space="preserve"> of Community Rural Development and the </w:t>
      </w:r>
      <w:r w:rsidR="0083626F">
        <w:t>Gaeltacht.</w:t>
      </w:r>
      <w:r w:rsidR="009359BB">
        <w:t xml:space="preserve"> </w:t>
      </w:r>
    </w:p>
    <w:p w14:paraId="3FB55C14" w14:textId="00F63471" w:rsidR="4726F2F2" w:rsidRDefault="008E198B" w:rsidP="0087664E">
      <w:pPr>
        <w:pStyle w:val="ListParagraph"/>
        <w:numPr>
          <w:ilvl w:val="0"/>
          <w:numId w:val="6"/>
        </w:numPr>
      </w:pPr>
      <w:r>
        <w:t xml:space="preserve">The Number of Applications Approved is determined </w:t>
      </w:r>
      <w:r w:rsidR="009359BB">
        <w:t xml:space="preserve">at national level and not by Galway County Council. </w:t>
      </w:r>
    </w:p>
    <w:p w14:paraId="4C00F3A3" w14:textId="77777777" w:rsidR="00D57448" w:rsidRDefault="00D57448">
      <w:pPr>
        <w:pStyle w:val="Heading2"/>
        <w:rPr>
          <w:sz w:val="24"/>
          <w:szCs w:val="24"/>
        </w:rPr>
      </w:pPr>
    </w:p>
    <w:p w14:paraId="41E2917A" w14:textId="1BDBADD7" w:rsidR="00F50200" w:rsidRPr="00811F3C" w:rsidRDefault="006749FE" w:rsidP="00811F3C">
      <w:pPr>
        <w:pStyle w:val="Heading2"/>
        <w:rPr>
          <w:rFonts w:asciiTheme="minorHAnsi" w:hAnsiTheme="minorHAnsi"/>
          <w:sz w:val="24"/>
          <w:szCs w:val="24"/>
        </w:rPr>
      </w:pPr>
      <w:r w:rsidRPr="00F50200">
        <w:rPr>
          <w:rFonts w:asciiTheme="minorHAnsi" w:hAnsiTheme="minorHAnsi"/>
          <w:sz w:val="24"/>
          <w:szCs w:val="24"/>
        </w:rPr>
        <w:t xml:space="preserve">Further information on CLÁR is available on </w:t>
      </w:r>
      <w:hyperlink r:id="rId11" w:history="1">
        <w:r w:rsidRPr="00F50200">
          <w:rPr>
            <w:rStyle w:val="Hyperlink"/>
            <w:rFonts w:asciiTheme="minorHAnsi" w:hAnsiTheme="minorHAnsi"/>
            <w:sz w:val="24"/>
            <w:szCs w:val="24"/>
          </w:rPr>
          <w:t>www.galway.ie</w:t>
        </w:r>
      </w:hyperlink>
      <w:r w:rsidRPr="00F50200">
        <w:rPr>
          <w:rFonts w:asciiTheme="minorHAnsi" w:hAnsiTheme="minorHAnsi"/>
          <w:sz w:val="24"/>
          <w:szCs w:val="24"/>
        </w:rPr>
        <w:t xml:space="preserve"> </w:t>
      </w:r>
      <w:r w:rsidR="00811F3C">
        <w:rPr>
          <w:rFonts w:asciiTheme="minorHAnsi" w:hAnsiTheme="minorHAnsi"/>
          <w:sz w:val="24"/>
          <w:szCs w:val="24"/>
        </w:rPr>
        <w:t xml:space="preserve">or by contacting the Rural Team:  </w:t>
      </w:r>
      <w:hyperlink r:id="rId12" w:history="1">
        <w:r w:rsidR="00811F3C" w:rsidRPr="00890873">
          <w:rPr>
            <w:rStyle w:val="Hyperlink"/>
            <w:rFonts w:asciiTheme="minorHAnsi" w:hAnsiTheme="minorHAnsi"/>
          </w:rPr>
          <w:t>clar@galwaycoco.ie</w:t>
        </w:r>
      </w:hyperlink>
      <w:r w:rsidR="003A4261" w:rsidRPr="00F50200">
        <w:rPr>
          <w:rFonts w:asciiTheme="minorHAnsi" w:hAnsiTheme="minorHAnsi"/>
        </w:rPr>
        <w:t xml:space="preserve"> </w:t>
      </w:r>
    </w:p>
    <w:p w14:paraId="1581EAF1" w14:textId="21EC41BA" w:rsidR="003D79A5" w:rsidRPr="003D79A5" w:rsidRDefault="00F50200" w:rsidP="00F50200">
      <w:pPr>
        <w:pStyle w:val="NormalWeb"/>
        <w:spacing w:before="0" w:beforeAutospacing="0" w:after="0" w:afterAutospacing="0" w:line="264" w:lineRule="auto"/>
        <w:rPr>
          <w:rFonts w:asciiTheme="minorHAnsi" w:eastAsia="Calibri" w:hAnsiTheme="minorHAnsi"/>
          <w:color w:val="000000"/>
          <w:spacing w:val="-17"/>
          <w:position w:val="1"/>
        </w:rPr>
      </w:pPr>
      <w:r w:rsidRPr="003D79A5">
        <w:rPr>
          <w:rFonts w:asciiTheme="minorHAnsi" w:eastAsia="Calibri" w:hAnsiTheme="minorHAnsi"/>
          <w:color w:val="000000"/>
          <w:spacing w:val="-17"/>
          <w:position w:val="1"/>
        </w:rPr>
        <w:t>091-509396</w:t>
      </w:r>
    </w:p>
    <w:p w14:paraId="1D8425DD" w14:textId="7FA233A4" w:rsidR="003D79A5" w:rsidRPr="003D79A5" w:rsidRDefault="00F50200" w:rsidP="00F50200">
      <w:pPr>
        <w:pStyle w:val="NormalWeb"/>
        <w:spacing w:before="0" w:beforeAutospacing="0" w:after="0" w:afterAutospacing="0" w:line="264" w:lineRule="auto"/>
        <w:rPr>
          <w:rFonts w:asciiTheme="minorHAnsi" w:eastAsia="Calibri" w:hAnsiTheme="minorHAnsi"/>
          <w:color w:val="000000"/>
          <w:spacing w:val="-17"/>
          <w:position w:val="1"/>
        </w:rPr>
      </w:pPr>
      <w:r w:rsidRPr="003D79A5">
        <w:rPr>
          <w:rFonts w:asciiTheme="minorHAnsi" w:eastAsia="Calibri" w:hAnsiTheme="minorHAnsi"/>
          <w:color w:val="000000"/>
          <w:spacing w:val="-17"/>
          <w:position w:val="1"/>
        </w:rPr>
        <w:t>091-509266</w:t>
      </w:r>
    </w:p>
    <w:p w14:paraId="37E1E7F1" w14:textId="341ED2A7" w:rsidR="00F50200" w:rsidRPr="003D79A5" w:rsidRDefault="00F50200" w:rsidP="00F50200">
      <w:pPr>
        <w:pStyle w:val="NormalWeb"/>
        <w:spacing w:before="0" w:beforeAutospacing="0" w:after="0" w:afterAutospacing="0" w:line="264" w:lineRule="auto"/>
        <w:rPr>
          <w:rFonts w:asciiTheme="minorHAnsi" w:hAnsiTheme="minorHAnsi"/>
        </w:rPr>
      </w:pPr>
      <w:r w:rsidRPr="003D79A5">
        <w:rPr>
          <w:rFonts w:asciiTheme="minorHAnsi" w:eastAsia="Calibri" w:hAnsiTheme="minorHAnsi"/>
          <w:color w:val="000000"/>
          <w:spacing w:val="-17"/>
          <w:position w:val="1"/>
        </w:rPr>
        <w:t>091-509334</w:t>
      </w:r>
    </w:p>
    <w:p w14:paraId="6AC6EDA0" w14:textId="2F65E722" w:rsidR="00192431" w:rsidRDefault="0281CA03">
      <w:pPr>
        <w:pStyle w:val="Heading2"/>
      </w:pPr>
      <w:r w:rsidRPr="0281CA03">
        <w:lastRenderedPageBreak/>
        <w:t>CLÁR Assessment</w:t>
      </w:r>
      <w:r w:rsidR="009359BB">
        <w:t xml:space="preserve"> &amp; Shortlisting</w:t>
      </w:r>
      <w:r w:rsidRPr="0281CA03">
        <w:t xml:space="preserve"> – Scoring Overview </w:t>
      </w:r>
      <w:r w:rsidR="009359BB">
        <w:t xml:space="preserve">– Galway County Council </w:t>
      </w:r>
    </w:p>
    <w:tbl>
      <w:tblPr>
        <w:tblStyle w:val="GridTable4-Accent1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51"/>
        <w:gridCol w:w="3631"/>
        <w:gridCol w:w="2696"/>
      </w:tblGrid>
      <w:tr w:rsidR="00303282" w14:paraId="6F5B90F1" w14:textId="77777777" w:rsidTr="00091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98C5636" w14:textId="77777777" w:rsidR="00192431" w:rsidRDefault="00380900">
            <w:r>
              <w:t>Scoring Criterion</w:t>
            </w:r>
          </w:p>
        </w:tc>
        <w:tc>
          <w:tcPr>
            <w:tcW w:w="851" w:type="dxa"/>
            <w:vAlign w:val="center"/>
          </w:tcPr>
          <w:p w14:paraId="4B7A4FD8" w14:textId="77777777" w:rsidR="00192431" w:rsidRDefault="003809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Max Score</w:t>
            </w:r>
          </w:p>
        </w:tc>
        <w:tc>
          <w:tcPr>
            <w:tcW w:w="3631" w:type="dxa"/>
            <w:vAlign w:val="center"/>
          </w:tcPr>
          <w:p w14:paraId="39204A78" w14:textId="77777777" w:rsidR="00192431" w:rsidRDefault="003809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Assessors Are Looking For</w:t>
            </w:r>
          </w:p>
        </w:tc>
        <w:tc>
          <w:tcPr>
            <w:tcW w:w="2696" w:type="dxa"/>
            <w:vAlign w:val="center"/>
          </w:tcPr>
          <w:p w14:paraId="12BE3FC3" w14:textId="77777777" w:rsidR="00192431" w:rsidRDefault="003809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Scoring Guide</w:t>
            </w:r>
          </w:p>
        </w:tc>
      </w:tr>
      <w:tr w:rsidR="00303282" w14:paraId="161068FF" w14:textId="77777777" w:rsidTr="00091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C67E493" w14:textId="77777777" w:rsidR="00192431" w:rsidRDefault="00380900">
            <w:r>
              <w:t>Rationale &amp; Need</w:t>
            </w:r>
          </w:p>
        </w:tc>
        <w:tc>
          <w:tcPr>
            <w:tcW w:w="851" w:type="dxa"/>
            <w:vAlign w:val="center"/>
          </w:tcPr>
          <w:p w14:paraId="0CCF700D" w14:textId="77777777" w:rsidR="00192431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3631" w:type="dxa"/>
            <w:vAlign w:val="center"/>
          </w:tcPr>
          <w:p w14:paraId="133C9342" w14:textId="59DE7C65" w:rsidR="00192431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Clear evidence of local need</w:t>
            </w:r>
            <w:r w:rsidR="00DE4A7C">
              <w:t xml:space="preserve"> </w:t>
            </w:r>
            <w:r>
              <w:t xml:space="preserve">informed by </w:t>
            </w:r>
            <w:r w:rsidR="00C04C63">
              <w:t>data, consultation</w:t>
            </w:r>
            <w:r>
              <w:t xml:space="preserve"> or surveys</w:t>
            </w:r>
            <w:r w:rsidR="00395B22">
              <w:t xml:space="preserve">, </w:t>
            </w:r>
            <w:r w:rsidR="008027FE">
              <w:t>insight,</w:t>
            </w:r>
            <w:r w:rsidR="00C04C63">
              <w:t xml:space="preserve"> </w:t>
            </w:r>
            <w:r>
              <w:t xml:space="preserve">and a strong explanation of why funding is required and how the project </w:t>
            </w:r>
            <w:r w:rsidR="00395B22">
              <w:t xml:space="preserve">is inclusive and </w:t>
            </w:r>
            <w:r>
              <w:t>meets community needs.</w:t>
            </w:r>
            <w:r w:rsidR="00970B9F">
              <w:t xml:space="preserve"> What will be positively </w:t>
            </w:r>
            <w:r w:rsidR="00053C36">
              <w:t>changed</w:t>
            </w:r>
            <w:r w:rsidR="00395B22">
              <w:t xml:space="preserve"> </w:t>
            </w:r>
            <w:r w:rsidR="00C04C63">
              <w:t>and</w:t>
            </w:r>
            <w:r w:rsidR="00395B22">
              <w:t xml:space="preserve"> who will benefit as a result of meeting this need. </w:t>
            </w:r>
          </w:p>
        </w:tc>
        <w:tc>
          <w:tcPr>
            <w:tcW w:w="2696" w:type="dxa"/>
            <w:vAlign w:val="center"/>
          </w:tcPr>
          <w:p w14:paraId="2CFE2AB6" w14:textId="77777777" w:rsidR="009359BB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High (75–100):</w:t>
            </w:r>
            <w:r>
              <w:t xml:space="preserve"> Strong evidence of need and community benefit</w:t>
            </w:r>
          </w:p>
          <w:p w14:paraId="399FA051" w14:textId="77777777" w:rsidR="009359BB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Medium (50–74):</w:t>
            </w:r>
            <w:r>
              <w:t xml:space="preserve"> Some evidence, moderate impact</w:t>
            </w:r>
          </w:p>
          <w:p w14:paraId="08DD02B7" w14:textId="53F21F8F" w:rsidR="00192431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Low (&lt;50):</w:t>
            </w:r>
            <w:r>
              <w:t xml:space="preserve"> Limited or unclear need</w:t>
            </w:r>
            <w:r w:rsidR="00053C36">
              <w:t xml:space="preserve"> or rationale</w:t>
            </w:r>
          </w:p>
        </w:tc>
      </w:tr>
      <w:tr w:rsidR="00303282" w14:paraId="7B093245" w14:textId="77777777" w:rsidTr="00091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2C3E19D" w14:textId="77777777" w:rsidR="00192431" w:rsidRDefault="00380900">
            <w:r>
              <w:t>Deliverability</w:t>
            </w:r>
          </w:p>
        </w:tc>
        <w:tc>
          <w:tcPr>
            <w:tcW w:w="851" w:type="dxa"/>
            <w:vAlign w:val="center"/>
          </w:tcPr>
          <w:p w14:paraId="02B72823" w14:textId="77777777" w:rsidR="00192431" w:rsidRDefault="0038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3631" w:type="dxa"/>
            <w:vAlign w:val="center"/>
          </w:tcPr>
          <w:p w14:paraId="0C1A42FD" w14:textId="45108F6A" w:rsidR="00192431" w:rsidRDefault="005C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Shovel-Ready /Permissions in place or underway, ownership or long‑term lease in place</w:t>
            </w:r>
            <w:r w:rsidR="00AB3B56">
              <w:t xml:space="preserve"> as per the DRCDG </w:t>
            </w:r>
            <w:r w:rsidR="0083626F">
              <w:t>Scheme,</w:t>
            </w:r>
            <w:r>
              <w:t xml:space="preserve"> demonstrated experience</w:t>
            </w:r>
            <w:r w:rsidR="00F360CD">
              <w:t xml:space="preserve"> and capacity within the group or area that is being harnessed</w:t>
            </w:r>
            <w:r w:rsidR="004A08D7">
              <w:t xml:space="preserve">. Matching Funding is in place. There is </w:t>
            </w:r>
            <w:r>
              <w:t>a realistic, achievable proposal</w:t>
            </w:r>
            <w:r w:rsidR="00AB3B56">
              <w:t xml:space="preserve"> within the timeline</w:t>
            </w:r>
            <w:r w:rsidR="00EB6497">
              <w:t xml:space="preserve"> that benefits the community</w:t>
            </w:r>
            <w:r w:rsidR="0009148B">
              <w:t>.</w:t>
            </w:r>
          </w:p>
        </w:tc>
        <w:tc>
          <w:tcPr>
            <w:tcW w:w="2696" w:type="dxa"/>
            <w:vAlign w:val="center"/>
          </w:tcPr>
          <w:p w14:paraId="0C4D1CFC" w14:textId="77777777" w:rsidR="007509CD" w:rsidRDefault="0038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High (75–100):</w:t>
            </w:r>
            <w:r>
              <w:t xml:space="preserve"> Fully deliverable, experienced applicant</w:t>
            </w:r>
          </w:p>
          <w:p w14:paraId="72BD0070" w14:textId="77777777" w:rsidR="007509CD" w:rsidRDefault="0038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Medium (50–74):</w:t>
            </w:r>
            <w:r>
              <w:t xml:space="preserve"> Some gaps but achievable</w:t>
            </w:r>
          </w:p>
          <w:p w14:paraId="0046D74F" w14:textId="055D98D6" w:rsidR="00192431" w:rsidRDefault="0038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Low (&lt;50):</w:t>
            </w:r>
            <w:r>
              <w:t xml:space="preserve"> Significant delivery risks</w:t>
            </w:r>
          </w:p>
        </w:tc>
      </w:tr>
      <w:tr w:rsidR="00303282" w14:paraId="13824D1A" w14:textId="77777777" w:rsidTr="00091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CAB306F" w14:textId="77777777" w:rsidR="00192431" w:rsidRDefault="00380900">
            <w:r>
              <w:t>Alignment to Policy</w:t>
            </w:r>
          </w:p>
        </w:tc>
        <w:tc>
          <w:tcPr>
            <w:tcW w:w="851" w:type="dxa"/>
            <w:vAlign w:val="center"/>
          </w:tcPr>
          <w:p w14:paraId="68861898" w14:textId="77777777" w:rsidR="00192431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631" w:type="dxa"/>
            <w:vAlign w:val="center"/>
          </w:tcPr>
          <w:p w14:paraId="64D4AEC5" w14:textId="2EC83137" w:rsidR="00192431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Strong alignment with CLÁR objectives, </w:t>
            </w:r>
            <w:r w:rsidR="006B7A4D">
              <w:t>Co</w:t>
            </w:r>
            <w:r w:rsidR="008C1D67">
              <w:t>.</w:t>
            </w:r>
            <w:r w:rsidR="006B7A4D">
              <w:t xml:space="preserve"> Development Plan </w:t>
            </w:r>
            <w:r w:rsidR="008C1D67">
              <w:t>(CDP)</w:t>
            </w:r>
            <w:r>
              <w:t>/L</w:t>
            </w:r>
            <w:r w:rsidR="006B7A4D">
              <w:t>ocal Economic and Community Plan</w:t>
            </w:r>
            <w:r>
              <w:t>, Our Rural Future, Climate Action Plan, and relevant UN SDGs (notably Goals 3 &amp; 11).</w:t>
            </w:r>
            <w:r w:rsidR="00DD6317">
              <w:t xml:space="preserve"> </w:t>
            </w:r>
            <w:r w:rsidR="007F0922">
              <w:t>Child Protection is considered</w:t>
            </w:r>
            <w:r w:rsidR="003E2934">
              <w:t xml:space="preserve"> as applicable. </w:t>
            </w:r>
          </w:p>
        </w:tc>
        <w:tc>
          <w:tcPr>
            <w:tcW w:w="2696" w:type="dxa"/>
            <w:vAlign w:val="center"/>
          </w:tcPr>
          <w:p w14:paraId="03A10D4B" w14:textId="5DA22DFB" w:rsidR="006B7A4D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High (35–50):</w:t>
            </w:r>
            <w:r>
              <w:t xml:space="preserve"> Strong </w:t>
            </w:r>
            <w:r w:rsidR="003E2934">
              <w:t xml:space="preserve">evidence of </w:t>
            </w:r>
            <w:r>
              <w:t>Measure 1 &amp; policy alignment</w:t>
            </w:r>
          </w:p>
          <w:p w14:paraId="7DC57F36" w14:textId="77777777" w:rsidR="007509CD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Medium (20–34):</w:t>
            </w:r>
            <w:r>
              <w:t xml:space="preserve"> Partial alignment</w:t>
            </w:r>
          </w:p>
          <w:p w14:paraId="72BAD90F" w14:textId="57C6B974" w:rsidR="006B7A4D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Low (&lt;20):</w:t>
            </w:r>
            <w:r>
              <w:t xml:space="preserve"> </w:t>
            </w:r>
          </w:p>
          <w:p w14:paraId="256D57CA" w14:textId="3D691815" w:rsidR="00192431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Weak</w:t>
            </w:r>
            <w:r w:rsidR="007509CD">
              <w:t>,</w:t>
            </w:r>
            <w:r w:rsidR="00AE7AC0">
              <w:t xml:space="preserve"> </w:t>
            </w:r>
            <w:r w:rsidR="007509CD">
              <w:t>non-specified</w:t>
            </w:r>
            <w:r>
              <w:t xml:space="preserve"> or no alignment</w:t>
            </w:r>
          </w:p>
        </w:tc>
      </w:tr>
      <w:tr w:rsidR="00303282" w14:paraId="30EA1D20" w14:textId="77777777" w:rsidTr="00091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6543EFC" w14:textId="77777777" w:rsidR="00192431" w:rsidRDefault="00380900">
            <w:r>
              <w:t>Value for Money</w:t>
            </w:r>
          </w:p>
        </w:tc>
        <w:tc>
          <w:tcPr>
            <w:tcW w:w="851" w:type="dxa"/>
            <w:vAlign w:val="center"/>
          </w:tcPr>
          <w:p w14:paraId="7863B65F" w14:textId="77777777" w:rsidR="00192431" w:rsidRDefault="0038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3631" w:type="dxa"/>
            <w:vAlign w:val="center"/>
          </w:tcPr>
          <w:p w14:paraId="0C2C0DEF" w14:textId="4FA364EF" w:rsidR="00192431" w:rsidRDefault="00380900" w:rsidP="00B23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Comprehensive and realistic </w:t>
            </w:r>
            <w:r w:rsidR="0083626F">
              <w:t>costings</w:t>
            </w:r>
            <w:r w:rsidR="003E2934">
              <w:t xml:space="preserve"> </w:t>
            </w:r>
            <w:r w:rsidR="002D1876">
              <w:t xml:space="preserve">allows for professional fees </w:t>
            </w:r>
            <w:r w:rsidR="002F68E2">
              <w:t>as</w:t>
            </w:r>
            <w:r w:rsidR="002D1876">
              <w:t xml:space="preserve"> required, </w:t>
            </w:r>
            <w:r>
              <w:t>clear financial information, and demonstration that the project represents good value for public funding.</w:t>
            </w:r>
            <w:r w:rsidR="002806E5">
              <w:t xml:space="preserve"> </w:t>
            </w:r>
            <w:r w:rsidR="00B23638" w:rsidRPr="00B23638">
              <w:rPr>
                <w:rFonts w:ascii="Aptos" w:hAnsi="Aptos"/>
                <w:color w:val="000000"/>
              </w:rPr>
              <w:t>Funding may be efficiently allocated to achieve both the objectives of the CLÁR Scheme and the proposed project.</w:t>
            </w:r>
          </w:p>
        </w:tc>
        <w:tc>
          <w:tcPr>
            <w:tcW w:w="2696" w:type="dxa"/>
            <w:vAlign w:val="center"/>
          </w:tcPr>
          <w:p w14:paraId="0DC96FD6" w14:textId="77777777" w:rsidR="002D1876" w:rsidRDefault="0038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High (75–100):</w:t>
            </w:r>
            <w:r>
              <w:t xml:space="preserve"> Excellent costs and VfM</w:t>
            </w:r>
          </w:p>
          <w:p w14:paraId="78F741EE" w14:textId="77777777" w:rsidR="002D1876" w:rsidRDefault="0038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Medium (50–74):</w:t>
            </w:r>
            <w:r>
              <w:t xml:space="preserve"> Reasonable costs</w:t>
            </w:r>
          </w:p>
          <w:p w14:paraId="12A9B572" w14:textId="41B05CFC" w:rsidR="00192431" w:rsidRDefault="0038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Low (&lt;50):</w:t>
            </w:r>
            <w:r>
              <w:t xml:space="preserve"> Poor or unclear cost basis</w:t>
            </w:r>
            <w:r w:rsidR="00AE7AC0">
              <w:t xml:space="preserve"> or VfM</w:t>
            </w:r>
          </w:p>
        </w:tc>
      </w:tr>
    </w:tbl>
    <w:p w14:paraId="4CA792CF" w14:textId="77777777" w:rsidR="0009148B" w:rsidRDefault="0009148B">
      <w:r>
        <w:rPr>
          <w:b/>
          <w:bCs/>
        </w:rPr>
        <w:br w:type="page"/>
      </w:r>
    </w:p>
    <w:tbl>
      <w:tblPr>
        <w:tblStyle w:val="GridTable4-Accent1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51"/>
        <w:gridCol w:w="3631"/>
        <w:gridCol w:w="2696"/>
      </w:tblGrid>
      <w:tr w:rsidR="00303282" w:rsidRPr="0009148B" w14:paraId="7C027519" w14:textId="77777777" w:rsidTr="00091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  <w:vAlign w:val="center"/>
          </w:tcPr>
          <w:p w14:paraId="6305A5A0" w14:textId="6EC32296" w:rsidR="00192431" w:rsidRPr="0098649A" w:rsidRDefault="00380900">
            <w:r w:rsidRPr="0098649A">
              <w:lastRenderedPageBreak/>
              <w:t xml:space="preserve">Accessibility </w:t>
            </w:r>
            <w:r w:rsidR="00E27AE1">
              <w:t xml:space="preserve">&amp; </w:t>
            </w:r>
            <w:r w:rsidRPr="0098649A">
              <w:t>(Mandatory under CLÁR)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C8893D" w14:textId="77777777" w:rsidR="00192431" w:rsidRPr="0009148B" w:rsidRDefault="003809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148B">
              <w:rPr>
                <w:b w:val="0"/>
                <w:bCs w:val="0"/>
              </w:rPr>
              <w:t>50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213FB95C" w14:textId="77777777" w:rsidR="00192431" w:rsidRDefault="00EC69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148B">
              <w:rPr>
                <w:b w:val="0"/>
                <w:bCs w:val="0"/>
              </w:rPr>
              <w:t xml:space="preserve">Evidence that the </w:t>
            </w:r>
            <w:r w:rsidR="008C1D67" w:rsidRPr="0009148B">
              <w:rPr>
                <w:b w:val="0"/>
                <w:bCs w:val="0"/>
              </w:rPr>
              <w:t>facility /</w:t>
            </w:r>
            <w:r w:rsidRPr="0009148B">
              <w:rPr>
                <w:b w:val="0"/>
                <w:bCs w:val="0"/>
              </w:rPr>
              <w:t xml:space="preserve">amenity is accessible to all abilities and ages where practicable, with clear provision for disability and age‑friendly </w:t>
            </w:r>
            <w:r w:rsidR="003604EA" w:rsidRPr="0009148B">
              <w:rPr>
                <w:b w:val="0"/>
                <w:bCs w:val="0"/>
              </w:rPr>
              <w:t xml:space="preserve">independent </w:t>
            </w:r>
            <w:r w:rsidRPr="0009148B">
              <w:rPr>
                <w:b w:val="0"/>
                <w:bCs w:val="0"/>
              </w:rPr>
              <w:t>access</w:t>
            </w:r>
            <w:r w:rsidR="003604EA" w:rsidRPr="0009148B">
              <w:rPr>
                <w:b w:val="0"/>
                <w:bCs w:val="0"/>
              </w:rPr>
              <w:t xml:space="preserve"> and use</w:t>
            </w:r>
            <w:r w:rsidR="00AE4389" w:rsidRPr="0009148B">
              <w:rPr>
                <w:b w:val="0"/>
                <w:bCs w:val="0"/>
              </w:rPr>
              <w:t xml:space="preserve"> and enjoyment of the facility/amenity</w:t>
            </w:r>
            <w:r w:rsidR="005F1667" w:rsidRPr="0009148B">
              <w:rPr>
                <w:b w:val="0"/>
                <w:bCs w:val="0"/>
              </w:rPr>
              <w:t>,</w:t>
            </w:r>
            <w:r w:rsidR="003604EA" w:rsidRPr="0009148B">
              <w:rPr>
                <w:b w:val="0"/>
                <w:bCs w:val="0"/>
              </w:rPr>
              <w:t xml:space="preserve"> evident in </w:t>
            </w:r>
            <w:r w:rsidR="005F1667" w:rsidRPr="0009148B">
              <w:rPr>
                <w:b w:val="0"/>
                <w:bCs w:val="0"/>
              </w:rPr>
              <w:t>the design, safety</w:t>
            </w:r>
            <w:r w:rsidR="00AE4389" w:rsidRPr="0009148B">
              <w:rPr>
                <w:b w:val="0"/>
                <w:bCs w:val="0"/>
              </w:rPr>
              <w:t>, usability</w:t>
            </w:r>
            <w:r w:rsidR="005F1667" w:rsidRPr="0009148B">
              <w:rPr>
                <w:b w:val="0"/>
                <w:bCs w:val="0"/>
              </w:rPr>
              <w:t xml:space="preserve"> of the </w:t>
            </w:r>
            <w:r w:rsidRPr="0009148B">
              <w:rPr>
                <w:b w:val="0"/>
                <w:bCs w:val="0"/>
              </w:rPr>
              <w:t xml:space="preserve">existing facility </w:t>
            </w:r>
            <w:r w:rsidR="005F1667" w:rsidRPr="0009148B">
              <w:rPr>
                <w:b w:val="0"/>
                <w:bCs w:val="0"/>
              </w:rPr>
              <w:t>/</w:t>
            </w:r>
            <w:r w:rsidRPr="0009148B">
              <w:rPr>
                <w:b w:val="0"/>
                <w:bCs w:val="0"/>
              </w:rPr>
              <w:t>amenity or a</w:t>
            </w:r>
            <w:r w:rsidR="003604EA" w:rsidRPr="0009148B">
              <w:rPr>
                <w:b w:val="0"/>
                <w:bCs w:val="0"/>
              </w:rPr>
              <w:t>s a</w:t>
            </w:r>
            <w:r w:rsidRPr="0009148B">
              <w:rPr>
                <w:b w:val="0"/>
                <w:bCs w:val="0"/>
              </w:rPr>
              <w:t xml:space="preserve"> result of </w:t>
            </w:r>
            <w:r w:rsidR="003604EA" w:rsidRPr="0009148B">
              <w:rPr>
                <w:b w:val="0"/>
                <w:bCs w:val="0"/>
              </w:rPr>
              <w:t xml:space="preserve">the proposed project. </w:t>
            </w:r>
          </w:p>
          <w:p w14:paraId="2447A130" w14:textId="31816412" w:rsidR="00E27AE1" w:rsidRPr="0009148B" w:rsidRDefault="00E27A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Access – Min Requirement</w:t>
            </w:r>
            <w:r w:rsidR="00200438">
              <w:rPr>
                <w:b w:val="0"/>
                <w:bCs w:val="0"/>
              </w:rPr>
              <w:t>s</w:t>
            </w:r>
            <w:r>
              <w:rPr>
                <w:b w:val="0"/>
                <w:bCs w:val="0"/>
              </w:rPr>
              <w:t xml:space="preserve"> Met </w:t>
            </w:r>
            <w:r w:rsidR="00200438">
              <w:rPr>
                <w:b w:val="0"/>
                <w:bCs w:val="0"/>
              </w:rPr>
              <w:t xml:space="preserve">(Facilities on school grounds </w:t>
            </w:r>
            <w:r>
              <w:rPr>
                <w:b w:val="0"/>
                <w:bCs w:val="0"/>
              </w:rPr>
              <w:t>available outside of Sc</w:t>
            </w:r>
            <w:r w:rsidR="00200438">
              <w:rPr>
                <w:b w:val="0"/>
                <w:bCs w:val="0"/>
              </w:rPr>
              <w:t xml:space="preserve">hool house. 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6C86FD3F" w14:textId="77777777" w:rsidR="00AE7AC0" w:rsidRPr="0009148B" w:rsidRDefault="003809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148B">
              <w:rPr>
                <w:b w:val="0"/>
                <w:bCs w:val="0"/>
              </w:rPr>
              <w:t>High (40–50): Clear, inclusive access measures</w:t>
            </w:r>
          </w:p>
          <w:p w14:paraId="64310AA9" w14:textId="77777777" w:rsidR="00AE7AC0" w:rsidRPr="0009148B" w:rsidRDefault="003809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148B">
              <w:rPr>
                <w:b w:val="0"/>
                <w:bCs w:val="0"/>
              </w:rPr>
              <w:t>Medium (25–39): Some access detail</w:t>
            </w:r>
          </w:p>
          <w:p w14:paraId="5C8B50FD" w14:textId="11AE3B99" w:rsidR="00192431" w:rsidRPr="0009148B" w:rsidRDefault="003809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148B">
              <w:rPr>
                <w:b w:val="0"/>
                <w:bCs w:val="0"/>
              </w:rPr>
              <w:t>Low (&lt;25): Access not addressed</w:t>
            </w:r>
          </w:p>
        </w:tc>
      </w:tr>
      <w:tr w:rsidR="00303282" w14:paraId="28BBE1F0" w14:textId="77777777" w:rsidTr="00091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5C83EF8" w14:textId="77777777" w:rsidR="00192431" w:rsidRDefault="00380900">
            <w:r>
              <w:t>Quality of Application</w:t>
            </w:r>
          </w:p>
        </w:tc>
        <w:tc>
          <w:tcPr>
            <w:tcW w:w="851" w:type="dxa"/>
            <w:vAlign w:val="center"/>
          </w:tcPr>
          <w:p w14:paraId="5AE91C80" w14:textId="77777777" w:rsidR="00192431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631" w:type="dxa"/>
            <w:vAlign w:val="center"/>
          </w:tcPr>
          <w:p w14:paraId="4A563429" w14:textId="7981C3B8" w:rsidR="00192431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Application is coherent, clearly written, and demonstrates understanding of outputs and timelines </w:t>
            </w:r>
            <w:r w:rsidR="00A46F03">
              <w:t>and the</w:t>
            </w:r>
            <w:r>
              <w:t xml:space="preserve"> CLÁR scheme.</w:t>
            </w:r>
            <w:r w:rsidR="008C1D67">
              <w:t xml:space="preserve"> </w:t>
            </w:r>
            <w:r w:rsidR="00A46F03">
              <w:t xml:space="preserve">It paints a clear picture of </w:t>
            </w:r>
            <w:r w:rsidR="00357FF5">
              <w:t>what will be impacted and postively changed as a result of the investment</w:t>
            </w:r>
            <w:r w:rsidR="008027FE">
              <w:t xml:space="preserve">. </w:t>
            </w:r>
          </w:p>
        </w:tc>
        <w:tc>
          <w:tcPr>
            <w:tcW w:w="2696" w:type="dxa"/>
            <w:vAlign w:val="center"/>
          </w:tcPr>
          <w:p w14:paraId="7B987385" w14:textId="77777777" w:rsidR="00AE7AC0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High (&gt;40):</w:t>
            </w:r>
            <w:r>
              <w:t xml:space="preserve"> Clear, complete, well‑structured</w:t>
            </w:r>
          </w:p>
          <w:p w14:paraId="3DFBE160" w14:textId="77777777" w:rsidR="00AE7AC0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Medium (25–40):</w:t>
            </w:r>
            <w:r>
              <w:t xml:space="preserve"> Adequate detail</w:t>
            </w:r>
          </w:p>
          <w:p w14:paraId="1E55548F" w14:textId="2294B54C" w:rsidR="00192431" w:rsidRDefault="00380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Low (&lt;25):</w:t>
            </w:r>
            <w:r>
              <w:t xml:space="preserve"> Unclear or incomplete</w:t>
            </w:r>
          </w:p>
        </w:tc>
      </w:tr>
      <w:tr w:rsidR="00303282" w14:paraId="36232D47" w14:textId="77777777" w:rsidTr="00091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55DA95C" w14:textId="77777777" w:rsidR="00192431" w:rsidRDefault="00380900">
            <w:r>
              <w:t>Management &amp; Sustainability</w:t>
            </w:r>
          </w:p>
        </w:tc>
        <w:tc>
          <w:tcPr>
            <w:tcW w:w="851" w:type="dxa"/>
            <w:vAlign w:val="center"/>
          </w:tcPr>
          <w:p w14:paraId="7514DE9C" w14:textId="77777777" w:rsidR="00192431" w:rsidRDefault="0038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631" w:type="dxa"/>
            <w:vAlign w:val="center"/>
          </w:tcPr>
          <w:p w14:paraId="3B9C4CF6" w14:textId="098EFE9D" w:rsidR="00192431" w:rsidRDefault="0038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Clear future management arrangements </w:t>
            </w:r>
            <w:r w:rsidR="006640E3">
              <w:t xml:space="preserve">(who is responsible for its upkeep) </w:t>
            </w:r>
            <w:r>
              <w:t>and evidence that the project is a sustainable, long‑term community investment.</w:t>
            </w:r>
            <w:r w:rsidR="007F0922">
              <w:t xml:space="preserve"> </w:t>
            </w:r>
            <w:r w:rsidR="004E1469">
              <w:t xml:space="preserve">Evidence on how it is currently or will be </w:t>
            </w:r>
            <w:r w:rsidR="007F0922">
              <w:t>publicly</w:t>
            </w:r>
            <w:r w:rsidR="004E1469">
              <w:t xml:space="preserve"> </w:t>
            </w:r>
            <w:r w:rsidR="007F0922">
              <w:t xml:space="preserve">available </w:t>
            </w:r>
            <w:r w:rsidR="004E1469">
              <w:t xml:space="preserve">for community use (per min’ requirements of Scheme) </w:t>
            </w:r>
          </w:p>
          <w:p w14:paraId="5EDA45EC" w14:textId="18289778" w:rsidR="005C039D" w:rsidRDefault="005C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Facility is appropriately insured. </w:t>
            </w:r>
          </w:p>
          <w:p w14:paraId="409B2706" w14:textId="77777777" w:rsidR="00200438" w:rsidRDefault="00200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54C7F1" w14:textId="4407C52F" w:rsidR="00200438" w:rsidRDefault="00200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6" w:type="dxa"/>
            <w:vAlign w:val="center"/>
          </w:tcPr>
          <w:p w14:paraId="479057DC" w14:textId="58F2FEC1" w:rsidR="00303282" w:rsidRDefault="0038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High (&gt;40):</w:t>
            </w:r>
            <w:r>
              <w:t xml:space="preserve"> Clear management &amp; sustainable use</w:t>
            </w:r>
            <w:r w:rsidR="00DC6FC3">
              <w:t xml:space="preserve"> explained and </w:t>
            </w:r>
            <w:r w:rsidR="008027FE">
              <w:t>validated</w:t>
            </w:r>
            <w:r w:rsidR="005C039D">
              <w:t>/Insured.</w:t>
            </w:r>
          </w:p>
          <w:p w14:paraId="721C3E3B" w14:textId="62664A3B" w:rsidR="00303282" w:rsidRDefault="0038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Medium (25–40):</w:t>
            </w:r>
            <w:r>
              <w:t xml:space="preserve"> Some clarity </w:t>
            </w:r>
            <w:r w:rsidR="008027FE">
              <w:t>provided</w:t>
            </w:r>
            <w:r w:rsidR="004E1469">
              <w:t xml:space="preserve"> </w:t>
            </w:r>
          </w:p>
          <w:p w14:paraId="6864440F" w14:textId="6726E987" w:rsidR="00192431" w:rsidRDefault="0038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Low (&lt;25):</w:t>
            </w:r>
            <w:r>
              <w:t xml:space="preserve"> Future management unclear</w:t>
            </w:r>
            <w:r w:rsidR="004E1469">
              <w:t>, lack of clarity on minimum requirements</w:t>
            </w:r>
          </w:p>
        </w:tc>
      </w:tr>
    </w:tbl>
    <w:p w14:paraId="0A37501D" w14:textId="438AA216" w:rsidR="00192431" w:rsidRDefault="00192431" w:rsidP="00AE7AC0">
      <w:pPr>
        <w:pBdr>
          <w:top w:val="single" w:sz="12" w:space="0" w:color="auto"/>
        </w:pBdr>
        <w:spacing w:after="0"/>
      </w:pPr>
    </w:p>
    <w:sectPr w:rsidR="00192431">
      <w:footerReference w:type="default" r:id="rId1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421B" w14:textId="77777777" w:rsidR="00380900" w:rsidRDefault="00380900" w:rsidP="00D8753D">
      <w:pPr>
        <w:spacing w:after="0" w:line="240" w:lineRule="auto"/>
      </w:pPr>
      <w:r>
        <w:separator/>
      </w:r>
    </w:p>
  </w:endnote>
  <w:endnote w:type="continuationSeparator" w:id="0">
    <w:p w14:paraId="76E2FD91" w14:textId="77777777" w:rsidR="00380900" w:rsidRDefault="00380900" w:rsidP="00D8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15608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D8753D" w14:paraId="5C508587" w14:textId="77777777">
      <w:tc>
        <w:tcPr>
          <w:tcW w:w="2500" w:type="pct"/>
          <w:shd w:val="clear" w:color="auto" w:fill="156082" w:themeFill="accent1"/>
          <w:vAlign w:val="center"/>
        </w:tcPr>
        <w:p w14:paraId="25F1E888" w14:textId="4BADBFFD" w:rsidR="00D8753D" w:rsidRDefault="00E02853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 xml:space="preserve">Comhairle Chontae na Gaillimhe </w:t>
          </w:r>
        </w:p>
      </w:tc>
      <w:tc>
        <w:tcPr>
          <w:tcW w:w="2500" w:type="pct"/>
          <w:shd w:val="clear" w:color="auto" w:fill="156082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18238320D0354F2C8F063BA8B115CC7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C7269C5" w14:textId="04EEC990" w:rsidR="00D8753D" w:rsidRDefault="005C039D">
              <w:pPr>
                <w:pStyle w:val="Footer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CLÁR Scoring – Shortlisting – GUIDELINE ONLY</w:t>
              </w:r>
            </w:p>
          </w:sdtContent>
        </w:sdt>
      </w:tc>
    </w:tr>
  </w:tbl>
  <w:p w14:paraId="3DCBA91E" w14:textId="77777777" w:rsidR="00D8753D" w:rsidRDefault="00D87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DDF3" w14:textId="77777777" w:rsidR="00380900" w:rsidRDefault="00380900" w:rsidP="00D8753D">
      <w:pPr>
        <w:spacing w:after="0" w:line="240" w:lineRule="auto"/>
      </w:pPr>
      <w:r>
        <w:separator/>
      </w:r>
    </w:p>
  </w:footnote>
  <w:footnote w:type="continuationSeparator" w:id="0">
    <w:p w14:paraId="4A28B812" w14:textId="77777777" w:rsidR="00380900" w:rsidRDefault="00380900" w:rsidP="00D87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7EDE"/>
    <w:multiLevelType w:val="hybridMultilevel"/>
    <w:tmpl w:val="5358EB64"/>
    <w:lvl w:ilvl="0" w:tplc="0694A7D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1EED1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D0AE8B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72E98D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A92AE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8921D1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95AB9B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9B65F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EAA20F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33BBE5D"/>
    <w:multiLevelType w:val="hybridMultilevel"/>
    <w:tmpl w:val="710C63B8"/>
    <w:lvl w:ilvl="0" w:tplc="E660B7E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0689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E01DC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492E2A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C7A6B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AE834C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80A2C9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6C6E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446E8D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D209B89"/>
    <w:multiLevelType w:val="hybridMultilevel"/>
    <w:tmpl w:val="5B9E0ED4"/>
    <w:lvl w:ilvl="0" w:tplc="3C16A92A">
      <w:start w:val="1"/>
      <w:numFmt w:val="decimal"/>
      <w:lvlText w:val="%1."/>
      <w:lvlJc w:val="left"/>
      <w:pPr>
        <w:ind w:left="720" w:hanging="360"/>
      </w:pPr>
    </w:lvl>
    <w:lvl w:ilvl="1" w:tplc="43903B68">
      <w:start w:val="1"/>
      <w:numFmt w:val="lowerLetter"/>
      <w:lvlText w:val="%2."/>
      <w:lvlJc w:val="left"/>
      <w:pPr>
        <w:ind w:left="1440" w:hanging="360"/>
      </w:pPr>
    </w:lvl>
    <w:lvl w:ilvl="2" w:tplc="50486FC4">
      <w:start w:val="1"/>
      <w:numFmt w:val="lowerRoman"/>
      <w:lvlText w:val="%3."/>
      <w:lvlJc w:val="right"/>
      <w:pPr>
        <w:ind w:left="2160" w:hanging="180"/>
      </w:pPr>
    </w:lvl>
    <w:lvl w:ilvl="3" w:tplc="3BC8D2DC">
      <w:start w:val="1"/>
      <w:numFmt w:val="decimal"/>
      <w:lvlText w:val="%4."/>
      <w:lvlJc w:val="left"/>
      <w:pPr>
        <w:ind w:left="2880" w:hanging="360"/>
      </w:pPr>
    </w:lvl>
    <w:lvl w:ilvl="4" w:tplc="C74AF712">
      <w:start w:val="1"/>
      <w:numFmt w:val="lowerLetter"/>
      <w:lvlText w:val="%5."/>
      <w:lvlJc w:val="left"/>
      <w:pPr>
        <w:ind w:left="3600" w:hanging="360"/>
      </w:pPr>
    </w:lvl>
    <w:lvl w:ilvl="5" w:tplc="FBE2A610">
      <w:start w:val="1"/>
      <w:numFmt w:val="lowerRoman"/>
      <w:lvlText w:val="%6."/>
      <w:lvlJc w:val="right"/>
      <w:pPr>
        <w:ind w:left="4320" w:hanging="180"/>
      </w:pPr>
    </w:lvl>
    <w:lvl w:ilvl="6" w:tplc="6840BDBA">
      <w:start w:val="1"/>
      <w:numFmt w:val="decimal"/>
      <w:lvlText w:val="%7."/>
      <w:lvlJc w:val="left"/>
      <w:pPr>
        <w:ind w:left="5040" w:hanging="360"/>
      </w:pPr>
    </w:lvl>
    <w:lvl w:ilvl="7" w:tplc="3C0CF2CA">
      <w:start w:val="1"/>
      <w:numFmt w:val="lowerLetter"/>
      <w:lvlText w:val="%8."/>
      <w:lvlJc w:val="left"/>
      <w:pPr>
        <w:ind w:left="5760" w:hanging="360"/>
      </w:pPr>
    </w:lvl>
    <w:lvl w:ilvl="8" w:tplc="ED7AE7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D5F1"/>
    <w:multiLevelType w:val="hybridMultilevel"/>
    <w:tmpl w:val="8CE80CDC"/>
    <w:lvl w:ilvl="0" w:tplc="C5B68C28">
      <w:start w:val="1"/>
      <w:numFmt w:val="bullet"/>
      <w:lvlText w:val="●"/>
      <w:lvlJc w:val="left"/>
      <w:pPr>
        <w:ind w:left="720" w:hanging="360"/>
      </w:pPr>
    </w:lvl>
    <w:lvl w:ilvl="1" w:tplc="85DAA5AC">
      <w:start w:val="1"/>
      <w:numFmt w:val="bullet"/>
      <w:lvlText w:val="○"/>
      <w:lvlJc w:val="left"/>
      <w:pPr>
        <w:ind w:left="1440" w:hanging="360"/>
      </w:pPr>
    </w:lvl>
    <w:lvl w:ilvl="2" w:tplc="51FA6EBE">
      <w:start w:val="1"/>
      <w:numFmt w:val="bullet"/>
      <w:lvlText w:val="■"/>
      <w:lvlJc w:val="left"/>
      <w:pPr>
        <w:ind w:left="2160" w:hanging="360"/>
      </w:pPr>
    </w:lvl>
    <w:lvl w:ilvl="3" w:tplc="CE8A3124">
      <w:start w:val="1"/>
      <w:numFmt w:val="bullet"/>
      <w:lvlText w:val="●"/>
      <w:lvlJc w:val="left"/>
      <w:pPr>
        <w:ind w:left="2880" w:hanging="360"/>
      </w:pPr>
    </w:lvl>
    <w:lvl w:ilvl="4" w:tplc="B9A2F598">
      <w:start w:val="1"/>
      <w:numFmt w:val="bullet"/>
      <w:lvlText w:val="○"/>
      <w:lvlJc w:val="left"/>
      <w:pPr>
        <w:ind w:left="3600" w:hanging="360"/>
      </w:pPr>
    </w:lvl>
    <w:lvl w:ilvl="5" w:tplc="5D5E7988">
      <w:start w:val="1"/>
      <w:numFmt w:val="bullet"/>
      <w:lvlText w:val="■"/>
      <w:lvlJc w:val="left"/>
      <w:pPr>
        <w:ind w:left="4320" w:hanging="360"/>
      </w:pPr>
    </w:lvl>
    <w:lvl w:ilvl="6" w:tplc="DB06F5BE">
      <w:start w:val="1"/>
      <w:numFmt w:val="bullet"/>
      <w:lvlText w:val="●"/>
      <w:lvlJc w:val="left"/>
      <w:pPr>
        <w:ind w:left="5040" w:hanging="360"/>
      </w:pPr>
    </w:lvl>
    <w:lvl w:ilvl="7" w:tplc="149C0BF8">
      <w:start w:val="1"/>
      <w:numFmt w:val="bullet"/>
      <w:lvlText w:val="●"/>
      <w:lvlJc w:val="left"/>
      <w:pPr>
        <w:ind w:left="5760" w:hanging="360"/>
      </w:pPr>
    </w:lvl>
    <w:lvl w:ilvl="8" w:tplc="AC443254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520AEB43"/>
    <w:multiLevelType w:val="hybridMultilevel"/>
    <w:tmpl w:val="7A9AC76C"/>
    <w:lvl w:ilvl="0" w:tplc="1230262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65A24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9561DA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AD0EF5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8CC76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57061A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E36F8A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D7665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132C85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5040A75"/>
    <w:multiLevelType w:val="hybridMultilevel"/>
    <w:tmpl w:val="CEF8BFF0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6179515">
    <w:abstractNumId w:val="2"/>
  </w:num>
  <w:num w:numId="2" w16cid:durableId="137037094">
    <w:abstractNumId w:val="3"/>
    <w:lvlOverride w:ilvl="0">
      <w:startOverride w:val="1"/>
    </w:lvlOverride>
  </w:num>
  <w:num w:numId="3" w16cid:durableId="1216355750">
    <w:abstractNumId w:val="1"/>
  </w:num>
  <w:num w:numId="4" w16cid:durableId="1681735862">
    <w:abstractNumId w:val="4"/>
  </w:num>
  <w:num w:numId="5" w16cid:durableId="1088043387">
    <w:abstractNumId w:val="0"/>
  </w:num>
  <w:num w:numId="6" w16cid:durableId="2089496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81CA03"/>
    <w:rsid w:val="00053C36"/>
    <w:rsid w:val="0009148B"/>
    <w:rsid w:val="000E3601"/>
    <w:rsid w:val="00190A37"/>
    <w:rsid w:val="00192431"/>
    <w:rsid w:val="00200438"/>
    <w:rsid w:val="002806E5"/>
    <w:rsid w:val="002D1876"/>
    <w:rsid w:val="002F68E2"/>
    <w:rsid w:val="00303282"/>
    <w:rsid w:val="0034251C"/>
    <w:rsid w:val="00351D9B"/>
    <w:rsid w:val="00357FF5"/>
    <w:rsid w:val="003604EA"/>
    <w:rsid w:val="00380900"/>
    <w:rsid w:val="00395B22"/>
    <w:rsid w:val="003A4261"/>
    <w:rsid w:val="003D79A5"/>
    <w:rsid w:val="003E2934"/>
    <w:rsid w:val="00446A4F"/>
    <w:rsid w:val="004A08D7"/>
    <w:rsid w:val="004A6799"/>
    <w:rsid w:val="004E1469"/>
    <w:rsid w:val="005663FF"/>
    <w:rsid w:val="005C039D"/>
    <w:rsid w:val="005C09BD"/>
    <w:rsid w:val="005F1667"/>
    <w:rsid w:val="00623780"/>
    <w:rsid w:val="00663456"/>
    <w:rsid w:val="006640E3"/>
    <w:rsid w:val="006749FE"/>
    <w:rsid w:val="006B7A4D"/>
    <w:rsid w:val="006D4F82"/>
    <w:rsid w:val="006D7AE5"/>
    <w:rsid w:val="006E681E"/>
    <w:rsid w:val="00722661"/>
    <w:rsid w:val="007509CD"/>
    <w:rsid w:val="007C03E3"/>
    <w:rsid w:val="007C6A3A"/>
    <w:rsid w:val="007F0922"/>
    <w:rsid w:val="008027FE"/>
    <w:rsid w:val="00811F3C"/>
    <w:rsid w:val="0083626F"/>
    <w:rsid w:val="0084369F"/>
    <w:rsid w:val="0087664E"/>
    <w:rsid w:val="00886532"/>
    <w:rsid w:val="008C1D67"/>
    <w:rsid w:val="008E198B"/>
    <w:rsid w:val="009359BB"/>
    <w:rsid w:val="00970B9F"/>
    <w:rsid w:val="009735E1"/>
    <w:rsid w:val="0098649A"/>
    <w:rsid w:val="009B4C31"/>
    <w:rsid w:val="00A46F03"/>
    <w:rsid w:val="00AB3B56"/>
    <w:rsid w:val="00AB541C"/>
    <w:rsid w:val="00AE4389"/>
    <w:rsid w:val="00AE7AC0"/>
    <w:rsid w:val="00B23638"/>
    <w:rsid w:val="00B550F5"/>
    <w:rsid w:val="00B740B9"/>
    <w:rsid w:val="00BC4BCA"/>
    <w:rsid w:val="00BF24A9"/>
    <w:rsid w:val="00C04C63"/>
    <w:rsid w:val="00D05DB6"/>
    <w:rsid w:val="00D57448"/>
    <w:rsid w:val="00D8753D"/>
    <w:rsid w:val="00DC6FC3"/>
    <w:rsid w:val="00DD6317"/>
    <w:rsid w:val="00DE1FA3"/>
    <w:rsid w:val="00DE4A7C"/>
    <w:rsid w:val="00E02853"/>
    <w:rsid w:val="00E27AE1"/>
    <w:rsid w:val="00E85D08"/>
    <w:rsid w:val="00EB6497"/>
    <w:rsid w:val="00EC6939"/>
    <w:rsid w:val="00EF23B3"/>
    <w:rsid w:val="00EF3F68"/>
    <w:rsid w:val="00F360CD"/>
    <w:rsid w:val="00F50200"/>
    <w:rsid w:val="0281CA03"/>
    <w:rsid w:val="0F31C0D0"/>
    <w:rsid w:val="0FC51DC0"/>
    <w:rsid w:val="10AB797F"/>
    <w:rsid w:val="16B4E70D"/>
    <w:rsid w:val="282B1276"/>
    <w:rsid w:val="2C1D53F1"/>
    <w:rsid w:val="2CDFB75D"/>
    <w:rsid w:val="35CA388A"/>
    <w:rsid w:val="4726F2F2"/>
    <w:rsid w:val="4794ED1E"/>
    <w:rsid w:val="5071B9B5"/>
    <w:rsid w:val="50B68EEF"/>
    <w:rsid w:val="58440408"/>
    <w:rsid w:val="5A5F32D4"/>
    <w:rsid w:val="7063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058D"/>
  <w15:docId w15:val="{CBB038E3-62B2-407E-842D-A990450C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749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D87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53D"/>
  </w:style>
  <w:style w:type="paragraph" w:styleId="Footer">
    <w:name w:val="footer"/>
    <w:basedOn w:val="Normal"/>
    <w:link w:val="FooterChar"/>
    <w:uiPriority w:val="99"/>
    <w:unhideWhenUsed/>
    <w:rsid w:val="00D87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ar@galwaycoco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alway.ie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238320D0354F2C8F063BA8B115C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2EDF6-75F8-436D-9C31-256F3982CB09}"/>
      </w:docPartPr>
      <w:docPartBody>
        <w:p w:rsidR="00F74517" w:rsidRDefault="004A6799" w:rsidP="004A6799">
          <w:pPr>
            <w:pStyle w:val="18238320D0354F2C8F063BA8B115CC77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99"/>
    <w:rsid w:val="00242910"/>
    <w:rsid w:val="004A6799"/>
    <w:rsid w:val="00623780"/>
    <w:rsid w:val="006A1B9B"/>
    <w:rsid w:val="0084369F"/>
    <w:rsid w:val="00F74517"/>
    <w:rsid w:val="00FD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238320D0354F2C8F063BA8B115CC77">
    <w:name w:val="18238320D0354F2C8F063BA8B115CC77"/>
    <w:rsid w:val="004A6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746D045D83F49B7F5A3D2875FDA50" ma:contentTypeVersion="26" ma:contentTypeDescription="Create a new document." ma:contentTypeScope="" ma:versionID="270cc6f03055ebed8bfdb8b08776f5c1">
  <xsd:schema xmlns:xsd="http://www.w3.org/2001/XMLSchema" xmlns:xs="http://www.w3.org/2001/XMLSchema" xmlns:p="http://schemas.microsoft.com/office/2006/metadata/properties" xmlns:ns1="http://schemas.microsoft.com/sharepoint/v3" xmlns:ns2="7989ac92-526a-4545-8f98-43b7232f8dbf" xmlns:ns3="b6d7fdcd-d805-4ab0-adf1-ea53e91d95ea" targetNamespace="http://schemas.microsoft.com/office/2006/metadata/properties" ma:root="true" ma:fieldsID="f73e6c5ef47c6b72e00107375c4b6af9" ns1:_="" ns2:_="" ns3:_="">
    <xsd:import namespace="http://schemas.microsoft.com/sharepoint/v3"/>
    <xsd:import namespace="7989ac92-526a-4545-8f98-43b7232f8dbf"/>
    <xsd:import namespace="b6d7fdcd-d805-4ab0-adf1-ea53e91d95ea"/>
    <xsd:element name="properties">
      <xsd:complexType>
        <xsd:sequence>
          <xsd:element name="documentManagement">
            <xsd:complexType>
              <xsd:all>
                <xsd:element ref="ns2:VersionInformation" minOccurs="0"/>
                <xsd:element ref="ns2:_x0074_yo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ac92-526a-4545-8f98-43b7232f8dbf" elementFormDefault="qualified">
    <xsd:import namespace="http://schemas.microsoft.com/office/2006/documentManagement/types"/>
    <xsd:import namespace="http://schemas.microsoft.com/office/infopath/2007/PartnerControls"/>
    <xsd:element name="VersionInformation" ma:index="2" nillable="true" ma:displayName="Version Information" ma:description="Draft " ma:format="Dropdown" ma:internalName="VersionInformation" ma:readOnly="false">
      <xsd:simpleType>
        <xsd:restriction base="dms:Text">
          <xsd:maxLength value="255"/>
        </xsd:restriction>
      </xsd:simpleType>
    </xsd:element>
    <xsd:element name="_x0074_yo0" ma:index="3" nillable="true" ma:displayName="Text" ma:description="Building Acquisition Measure " ma:format="Dropdown" ma:internalName="_x0074_yo0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344f4e2-0cd0-4c8d-bab7-204c449a3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2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7fdcd-d805-4ab0-adf1-ea53e91d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1aded68f-f362-4124-b31c-7ea58f60ca25}" ma:internalName="TaxCatchAll" ma:readOnly="false" ma:showField="CatchAllData" ma:web="b6d7fdcd-d805-4ab0-adf1-ea53e91d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Information xmlns="7989ac92-526a-4545-8f98-43b7232f8dbf" xsi:nil="true"/>
    <_ip_UnifiedCompliancePolicyUIAction xmlns="http://schemas.microsoft.com/sharepoint/v3" xsi:nil="true"/>
    <TaxCatchAll xmlns="b6d7fdcd-d805-4ab0-adf1-ea53e91d95ea" xsi:nil="true"/>
    <_x0074_yo0 xmlns="7989ac92-526a-4545-8f98-43b7232f8dbf" xsi:nil="true"/>
    <Image xmlns="7989ac92-526a-4545-8f98-43b7232f8dbf" xsi:nil="true"/>
    <_ip_UnifiedCompliancePolicyProperties xmlns="http://schemas.microsoft.com/sharepoint/v3" xsi:nil="true"/>
    <_Flow_SignoffStatus xmlns="7989ac92-526a-4545-8f98-43b7232f8dbf" xsi:nil="true"/>
    <lcf76f155ced4ddcb4097134ff3c332f xmlns="7989ac92-526a-4545-8f98-43b7232f8d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A06E30-7801-4EAC-9BF4-F82B5CBD1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89ac92-526a-4545-8f98-43b7232f8dbf"/>
    <ds:schemaRef ds:uri="b6d7fdcd-d805-4ab0-adf1-ea53e91d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C0655-AD40-4648-BD9C-7A0F71976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C2DCF-B9E2-4F67-BB1E-B928CEEE6B8A}">
  <ds:schemaRefs>
    <ds:schemaRef ds:uri="b6d7fdcd-d805-4ab0-adf1-ea53e91d95ea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7989ac92-526a-4545-8f98-43b7232f8dbf"/>
    <ds:schemaRef ds:uri="http://schemas.microsoft.com/sharepoint/v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CLÁR Scoring – Shortlisting – GUIDELINE ONLY</dc:creator>
  <cp:keywords/>
  <cp:lastModifiedBy>Carmel Egan</cp:lastModifiedBy>
  <cp:revision>2</cp:revision>
  <dcterms:created xsi:type="dcterms:W3CDTF">2026-04-15T12:42:00Z</dcterms:created>
  <dcterms:modified xsi:type="dcterms:W3CDTF">2026-04-15T12:42:00Z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0x0101004A6746D045D83F49B7F5A3D2875FDA50</vt:lpwstr>
  </property>
  <property fmtid="{D5CDD505-2E9C-101B-9397-08002B2CF9AE}" pid="3" name="MediaServiceImageTags">
    <vt:lpwstr/>
  </property>
</Properties>
</file>